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21D1E" w14:textId="77777777" w:rsidR="00D63BB8" w:rsidRDefault="00D63BB8" w:rsidP="00D63BB8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108                                     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R4-2</w:t>
      </w:r>
      <w:r>
        <w:rPr>
          <w:rFonts w:ascii="Arial" w:hAnsi="Arial" w:cs="Arial"/>
          <w:b/>
          <w:sz w:val="24"/>
          <w:szCs w:val="24"/>
          <w:lang w:eastAsia="en-GB"/>
        </w:rPr>
        <w:t>3xxxxx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2AF3E449" w14:textId="77777777" w:rsidR="00D63BB8" w:rsidRPr="00BE67D6" w:rsidRDefault="00D63BB8" w:rsidP="00D63BB8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Toulouse, France, August 21 – August 25, 2023</w:t>
      </w:r>
    </w:p>
    <w:p w14:paraId="69899CEF" w14:textId="24A1C065" w:rsidR="00D63BB8" w:rsidRPr="007E3704" w:rsidRDefault="00D63BB8" w:rsidP="00D63B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0600E0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8.33.</w:t>
      </w:r>
      <w:r w:rsidR="009056D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3</w:t>
      </w:r>
    </w:p>
    <w:p w14:paraId="5F56638D" w14:textId="77777777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1035F330" w14:textId="32DA882B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  <w:r w:rsidR="00622D1A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Further </w:t>
      </w:r>
      <w:r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Discussion on mobile IAB RF Requirements</w:t>
      </w:r>
    </w:p>
    <w:p w14:paraId="00BF3F8C" w14:textId="77777777" w:rsidR="00D63BB8" w:rsidRPr="007E3704" w:rsidRDefault="00D63BB8" w:rsidP="00D63BB8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43F59FCC" w14:textId="77777777" w:rsidR="00D63BB8" w:rsidRDefault="00D63BB8" w:rsidP="00D63BB8">
      <w:pPr>
        <w:rPr>
          <w:sz w:val="22"/>
          <w:szCs w:val="22"/>
          <w:lang w:val="en-US"/>
        </w:rPr>
      </w:pPr>
    </w:p>
    <w:p w14:paraId="410028F5" w14:textId="77777777" w:rsidR="00D63BB8" w:rsidRDefault="00D63BB8" w:rsidP="00D63BB8">
      <w:pPr>
        <w:pStyle w:val="Heading1"/>
        <w:numPr>
          <w:ilvl w:val="0"/>
          <w:numId w:val="2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3E3007C2" w14:textId="77777777" w:rsidR="00D63BB8" w:rsidRDefault="00D63BB8" w:rsidP="00D63BB8">
      <w:pPr>
        <w:rPr>
          <w:sz w:val="21"/>
          <w:szCs w:val="21"/>
          <w:lang w:val="en-US"/>
        </w:rPr>
      </w:pPr>
      <w:r w:rsidRPr="00342C1C">
        <w:rPr>
          <w:noProof/>
          <w:sz w:val="21"/>
          <w:szCs w:val="21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A685A0" wp14:editId="0456F4D2">
                <wp:simplePos x="0" y="0"/>
                <wp:positionH relativeFrom="margin">
                  <wp:align>right</wp:align>
                </wp:positionH>
                <wp:positionV relativeFrom="paragraph">
                  <wp:posOffset>513080</wp:posOffset>
                </wp:positionV>
                <wp:extent cx="5895975" cy="42481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424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FF8E9" w14:textId="77777777" w:rsidR="00D63BB8" w:rsidRPr="0022056F" w:rsidRDefault="00D63BB8" w:rsidP="00D63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line="240" w:lineRule="auto"/>
                              <w:ind w:left="576" w:hanging="576"/>
                              <w:outlineLvl w:val="1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22056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RF Requirements</w:t>
                            </w:r>
                          </w:p>
                          <w:p w14:paraId="76BCC5ED" w14:textId="77777777" w:rsidR="00D63BB8" w:rsidRPr="00974764" w:rsidRDefault="00D63BB8" w:rsidP="00D63BB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0" w:line="240" w:lineRule="auto"/>
                              <w:outlineLvl w:val="1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 w:rsidRPr="000164D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2.1 </w:t>
                            </w:r>
                            <w:r w:rsidRPr="00974764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>IAB-MT RF requirements</w:t>
                            </w:r>
                          </w:p>
                          <w:p w14:paraId="430219A5" w14:textId="77777777" w:rsidR="00D63BB8" w:rsidRPr="00974764" w:rsidRDefault="00D63BB8" w:rsidP="00D63BB8">
                            <w:pPr>
                              <w:spacing w:after="0" w:line="256" w:lineRule="auto"/>
                              <w:rPr>
                                <w:sz w:val="24"/>
                                <w:szCs w:val="24"/>
                                <w:u w:val="single"/>
                                <w:lang w:val="sv-SE" w:eastAsia="ja-JP"/>
                              </w:rPr>
                            </w:pPr>
                            <w:r w:rsidRPr="00974764">
                              <w:rPr>
                                <w:sz w:val="24"/>
                                <w:szCs w:val="24"/>
                                <w:u w:val="single"/>
                                <w:lang w:val="sv-SE" w:eastAsia="ja-JP"/>
                              </w:rPr>
                              <w:t>Agreement:</w:t>
                            </w:r>
                          </w:p>
                          <w:p w14:paraId="429EB538" w14:textId="77777777" w:rsidR="00D63BB8" w:rsidRPr="00974764" w:rsidRDefault="00D63BB8" w:rsidP="00D63BB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56" w:lineRule="auto"/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974764"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  <w:t>Based on the outcome of the coexistence study:</w:t>
                            </w:r>
                          </w:p>
                          <w:p w14:paraId="5D9AFCDC" w14:textId="77777777" w:rsidR="00D63BB8" w:rsidRPr="00974764" w:rsidRDefault="00D63BB8" w:rsidP="00D63BB8">
                            <w:pPr>
                              <w:numPr>
                                <w:ilvl w:val="1"/>
                                <w:numId w:val="3"/>
                              </w:numPr>
                              <w:spacing w:after="0" w:line="256" w:lineRule="auto"/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974764"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  <w:t>Further study whether existing wide area IAB-MT RF or local area IAB-MT RF requirements can be reused for mobile IAB, or a new set of requirements need to be specified.</w:t>
                            </w:r>
                          </w:p>
                          <w:p w14:paraId="1DE363C2" w14:textId="77777777" w:rsidR="00D63BB8" w:rsidRPr="00974764" w:rsidRDefault="00D63BB8" w:rsidP="00D63BB8">
                            <w:pPr>
                              <w:numPr>
                                <w:ilvl w:val="1"/>
                                <w:numId w:val="3"/>
                              </w:numPr>
                              <w:spacing w:after="0" w:line="256" w:lineRule="auto"/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 w:rsidRPr="00974764">
                              <w:rPr>
                                <w:rFonts w:cs="Arial"/>
                                <w:sz w:val="21"/>
                                <w:szCs w:val="21"/>
                                <w:lang w:val="en-US" w:eastAsia="zh-CN"/>
                              </w:rPr>
                              <w:t xml:space="preserve">Limit output power in UL or introduce output power control dynamics following UE. </w:t>
                            </w:r>
                          </w:p>
                          <w:p w14:paraId="3776C92B" w14:textId="77777777" w:rsidR="00D63BB8" w:rsidRDefault="00D63BB8" w:rsidP="00D63BB8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lang w:val="en-GB" w:eastAsia="en-US"/>
                              </w:rPr>
                            </w:pPr>
                            <w:r>
                              <w:t>IAB-MT antenna modelling</w:t>
                            </w:r>
                          </w:p>
                          <w:p w14:paraId="6310393B" w14:textId="77777777" w:rsidR="00D63BB8" w:rsidRPr="00D9249F" w:rsidRDefault="00D63BB8" w:rsidP="00D63BB8">
                            <w:pPr>
                              <w:spacing w:after="0"/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9249F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IAB-MT antenna modelling:</w:t>
                            </w:r>
                          </w:p>
                          <w:p w14:paraId="007078A2" w14:textId="77777777" w:rsidR="00D63BB8" w:rsidRPr="00D9249F" w:rsidRDefault="00D63BB8" w:rsidP="00D63BB8">
                            <w:pPr>
                              <w:spacing w:after="0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D9249F">
                              <w:rPr>
                                <w:sz w:val="21"/>
                                <w:szCs w:val="21"/>
                                <w:u w:val="single"/>
                              </w:rPr>
                              <w:t>Agreement:</w:t>
                            </w:r>
                          </w:p>
                          <w:p w14:paraId="75D09D6A" w14:textId="77777777" w:rsidR="00D63BB8" w:rsidRPr="00D9249F" w:rsidRDefault="00D63BB8" w:rsidP="00D63BB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D9249F">
                              <w:rPr>
                                <w:sz w:val="21"/>
                                <w:szCs w:val="21"/>
                              </w:rPr>
                              <w:t>Consider the 3 panel with 120-degree shift IAB-MT antenna model in coexisting simulation.</w:t>
                            </w:r>
                          </w:p>
                          <w:p w14:paraId="5F33DF0C" w14:textId="77777777" w:rsidR="00D63BB8" w:rsidRPr="00D9249F" w:rsidRDefault="00D63BB8" w:rsidP="00D63BB8">
                            <w:pPr>
                              <w:pStyle w:val="ListParagraph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6400B82F" w14:textId="77777777" w:rsidR="00D63BB8" w:rsidRPr="00D9249F" w:rsidRDefault="00D63BB8" w:rsidP="00D63BB8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9249F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IAB-DU antenna modelling:</w:t>
                            </w:r>
                          </w:p>
                          <w:p w14:paraId="0AA6C156" w14:textId="77777777" w:rsidR="00D63BB8" w:rsidRPr="00D9249F" w:rsidRDefault="00D63BB8" w:rsidP="00D63BB8">
                            <w:pPr>
                              <w:spacing w:after="0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D9249F">
                              <w:rPr>
                                <w:sz w:val="21"/>
                                <w:szCs w:val="21"/>
                                <w:u w:val="single"/>
                              </w:rPr>
                              <w:t>Agreement:</w:t>
                            </w:r>
                          </w:p>
                          <w:p w14:paraId="3A53C70D" w14:textId="77777777" w:rsidR="00D63BB8" w:rsidRPr="00D9249F" w:rsidRDefault="00D63BB8" w:rsidP="00D63BB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D9249F">
                              <w:rPr>
                                <w:sz w:val="21"/>
                                <w:szCs w:val="21"/>
                              </w:rPr>
                              <w:t>Use same assumption for mobile IAB-DU and IAB-MT as starting point for initial co-existence simulations.</w:t>
                            </w:r>
                          </w:p>
                          <w:p w14:paraId="3B080A26" w14:textId="77777777" w:rsidR="00D63BB8" w:rsidRPr="00D9249F" w:rsidRDefault="00D63BB8" w:rsidP="00D63BB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D9249F">
                              <w:rPr>
                                <w:sz w:val="21"/>
                                <w:szCs w:val="21"/>
                              </w:rPr>
                              <w:t>Other options not precluded for mobile IAB-DU antenna modelling and deployment scenarios.</w:t>
                            </w:r>
                          </w:p>
                          <w:p w14:paraId="3E7A3822" w14:textId="77777777" w:rsidR="00D63BB8" w:rsidRPr="001B3CC5" w:rsidRDefault="00D63BB8" w:rsidP="00D63B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A685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3.05pt;margin-top:40.4pt;width:464.25pt;height:334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">
                <v:textbox>
                  <w:txbxContent>
                    <w:p w14:paraId="03BFF8E9" w14:textId="77777777" w:rsidR="00D63BB8" w:rsidRPr="0022056F" w:rsidRDefault="00D63BB8" w:rsidP="00D63BB8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80" w:line="240" w:lineRule="auto"/>
                        <w:ind w:left="576" w:hanging="576"/>
                        <w:outlineLvl w:val="1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22056F">
                        <w:rPr>
                          <w:rFonts w:ascii="Arial" w:hAnsi="Arial" w:cs="Arial"/>
                          <w:sz w:val="28"/>
                          <w:szCs w:val="28"/>
                        </w:rPr>
                        <w:t>RF Requirements</w:t>
                      </w:r>
                    </w:p>
                    <w:p w14:paraId="76BCC5ED" w14:textId="77777777" w:rsidR="00D63BB8" w:rsidRPr="00974764" w:rsidRDefault="00D63BB8" w:rsidP="00D63BB8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80" w:after="0" w:line="240" w:lineRule="auto"/>
                        <w:outlineLvl w:val="1"/>
                        <w:rPr>
                          <w:b/>
                          <w:bCs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 w:rsidRPr="000164D9">
                        <w:rPr>
                          <w:b/>
                          <w:bCs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2.1 </w:t>
                      </w:r>
                      <w:r w:rsidRPr="00974764">
                        <w:rPr>
                          <w:b/>
                          <w:bCs/>
                          <w:sz w:val="24"/>
                          <w:szCs w:val="24"/>
                          <w:u w:val="single"/>
                          <w:lang w:val="en-US" w:eastAsia="zh-CN"/>
                        </w:rPr>
                        <w:t>IAB-MT RF requirements</w:t>
                      </w:r>
                    </w:p>
                    <w:p w14:paraId="430219A5" w14:textId="77777777" w:rsidR="00D63BB8" w:rsidRPr="00974764" w:rsidRDefault="00D63BB8" w:rsidP="00D63BB8">
                      <w:pPr>
                        <w:spacing w:after="0" w:line="256" w:lineRule="auto"/>
                        <w:rPr>
                          <w:sz w:val="24"/>
                          <w:szCs w:val="24"/>
                          <w:u w:val="single"/>
                          <w:lang w:val="sv-SE" w:eastAsia="ja-JP"/>
                        </w:rPr>
                      </w:pPr>
                      <w:r w:rsidRPr="00974764">
                        <w:rPr>
                          <w:sz w:val="24"/>
                          <w:szCs w:val="24"/>
                          <w:u w:val="single"/>
                          <w:lang w:val="sv-SE" w:eastAsia="ja-JP"/>
                        </w:rPr>
                        <w:t>Agreement:</w:t>
                      </w:r>
                    </w:p>
                    <w:p w14:paraId="429EB538" w14:textId="77777777" w:rsidR="00D63BB8" w:rsidRPr="00974764" w:rsidRDefault="00D63BB8" w:rsidP="00D63BB8">
                      <w:pPr>
                        <w:numPr>
                          <w:ilvl w:val="0"/>
                          <w:numId w:val="3"/>
                        </w:numPr>
                        <w:spacing w:after="0" w:line="256" w:lineRule="auto"/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</w:pPr>
                      <w:r w:rsidRPr="00974764"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  <w:t>Based on the outcome of the coexistence study:</w:t>
                      </w:r>
                    </w:p>
                    <w:p w14:paraId="5D9AFCDC" w14:textId="77777777" w:rsidR="00D63BB8" w:rsidRPr="00974764" w:rsidRDefault="00D63BB8" w:rsidP="00D63BB8">
                      <w:pPr>
                        <w:numPr>
                          <w:ilvl w:val="1"/>
                          <w:numId w:val="3"/>
                        </w:numPr>
                        <w:spacing w:after="0" w:line="256" w:lineRule="auto"/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</w:pPr>
                      <w:r w:rsidRPr="00974764"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  <w:t>Further study whether existing wide area IAB-MT RF or local area IAB-MT RF requirements can be reused for mobile IAB, or a new set of requirements need to be specified.</w:t>
                      </w:r>
                    </w:p>
                    <w:p w14:paraId="1DE363C2" w14:textId="77777777" w:rsidR="00D63BB8" w:rsidRPr="00974764" w:rsidRDefault="00D63BB8" w:rsidP="00D63BB8">
                      <w:pPr>
                        <w:numPr>
                          <w:ilvl w:val="1"/>
                          <w:numId w:val="3"/>
                        </w:numPr>
                        <w:spacing w:after="0" w:line="256" w:lineRule="auto"/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</w:pPr>
                      <w:r w:rsidRPr="00974764">
                        <w:rPr>
                          <w:rFonts w:cs="Arial"/>
                          <w:sz w:val="21"/>
                          <w:szCs w:val="21"/>
                          <w:lang w:val="en-US" w:eastAsia="zh-CN"/>
                        </w:rPr>
                        <w:t xml:space="preserve">Limit output power in UL or introduce output power control dynamics following UE. </w:t>
                      </w:r>
                    </w:p>
                    <w:p w14:paraId="3776C92B" w14:textId="77777777" w:rsidR="00D63BB8" w:rsidRDefault="00D63BB8" w:rsidP="00D63BB8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lang w:val="en-GB" w:eastAsia="en-US"/>
                        </w:rPr>
                      </w:pPr>
                      <w:r>
                        <w:t>IAB-MT antenna modelling</w:t>
                      </w:r>
                    </w:p>
                    <w:p w14:paraId="6310393B" w14:textId="77777777" w:rsidR="00D63BB8" w:rsidRPr="00D9249F" w:rsidRDefault="00D63BB8" w:rsidP="00D63BB8">
                      <w:pPr>
                        <w:spacing w:after="0"/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D9249F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IAB-MT antenna modelling:</w:t>
                      </w:r>
                    </w:p>
                    <w:p w14:paraId="007078A2" w14:textId="77777777" w:rsidR="00D63BB8" w:rsidRPr="00D9249F" w:rsidRDefault="00D63BB8" w:rsidP="00D63BB8">
                      <w:pPr>
                        <w:spacing w:after="0"/>
                        <w:rPr>
                          <w:sz w:val="21"/>
                          <w:szCs w:val="21"/>
                          <w:u w:val="single"/>
                        </w:rPr>
                      </w:pPr>
                      <w:r w:rsidRPr="00D9249F">
                        <w:rPr>
                          <w:sz w:val="21"/>
                          <w:szCs w:val="21"/>
                          <w:u w:val="single"/>
                        </w:rPr>
                        <w:t>Agreement:</w:t>
                      </w:r>
                    </w:p>
                    <w:p w14:paraId="75D09D6A" w14:textId="77777777" w:rsidR="00D63BB8" w:rsidRPr="00D9249F" w:rsidRDefault="00D63BB8" w:rsidP="00D63BB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D9249F">
                        <w:rPr>
                          <w:sz w:val="21"/>
                          <w:szCs w:val="21"/>
                        </w:rPr>
                        <w:t>Consider the 3 panel with 120-degree shift IAB-MT antenna model in coexisting simulation.</w:t>
                      </w:r>
                    </w:p>
                    <w:p w14:paraId="5F33DF0C" w14:textId="77777777" w:rsidR="00D63BB8" w:rsidRPr="00D9249F" w:rsidRDefault="00D63BB8" w:rsidP="00D63BB8">
                      <w:pPr>
                        <w:pStyle w:val="ListParagraph"/>
                        <w:rPr>
                          <w:sz w:val="21"/>
                          <w:szCs w:val="21"/>
                        </w:rPr>
                      </w:pPr>
                    </w:p>
                    <w:p w14:paraId="6400B82F" w14:textId="77777777" w:rsidR="00D63BB8" w:rsidRPr="00D9249F" w:rsidRDefault="00D63BB8" w:rsidP="00D63BB8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D9249F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IAB-DU antenna modelling:</w:t>
                      </w:r>
                    </w:p>
                    <w:p w14:paraId="0AA6C156" w14:textId="77777777" w:rsidR="00D63BB8" w:rsidRPr="00D9249F" w:rsidRDefault="00D63BB8" w:rsidP="00D63BB8">
                      <w:pPr>
                        <w:spacing w:after="0"/>
                        <w:rPr>
                          <w:sz w:val="21"/>
                          <w:szCs w:val="21"/>
                          <w:u w:val="single"/>
                        </w:rPr>
                      </w:pPr>
                      <w:r w:rsidRPr="00D9249F">
                        <w:rPr>
                          <w:sz w:val="21"/>
                          <w:szCs w:val="21"/>
                          <w:u w:val="single"/>
                        </w:rPr>
                        <w:t>Agreement:</w:t>
                      </w:r>
                    </w:p>
                    <w:p w14:paraId="3A53C70D" w14:textId="77777777" w:rsidR="00D63BB8" w:rsidRPr="00D9249F" w:rsidRDefault="00D63BB8" w:rsidP="00D63BB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D9249F">
                        <w:rPr>
                          <w:sz w:val="21"/>
                          <w:szCs w:val="21"/>
                        </w:rPr>
                        <w:t>Use same assumption for mobile IAB-DU and IAB-MT as starting point for initial co-existence simulations.</w:t>
                      </w:r>
                    </w:p>
                    <w:p w14:paraId="3B080A26" w14:textId="77777777" w:rsidR="00D63BB8" w:rsidRPr="00D9249F" w:rsidRDefault="00D63BB8" w:rsidP="00D63BB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D9249F">
                        <w:rPr>
                          <w:sz w:val="21"/>
                          <w:szCs w:val="21"/>
                        </w:rPr>
                        <w:t>Other options not precluded for mobile IAB-DU antenna modelling and deployment scenarios.</w:t>
                      </w:r>
                    </w:p>
                    <w:p w14:paraId="3E7A3822" w14:textId="77777777" w:rsidR="00D63BB8" w:rsidRPr="001B3CC5" w:rsidRDefault="00D63BB8" w:rsidP="00D63BB8"/>
                  </w:txbxContent>
                </v:textbox>
                <w10:wrap type="square" anchorx="margin"/>
              </v:shape>
            </w:pict>
          </mc:Fallback>
        </mc:AlternateContent>
      </w:r>
      <w:r w:rsidRPr="00887E98">
        <w:rPr>
          <w:sz w:val="21"/>
          <w:szCs w:val="21"/>
          <w:lang w:val="en-US"/>
        </w:rPr>
        <w:t xml:space="preserve">In RAN4-#107 meeting, the WF </w:t>
      </w:r>
      <w:r>
        <w:rPr>
          <w:sz w:val="21"/>
          <w:szCs w:val="21"/>
          <w:lang w:val="en-US"/>
        </w:rPr>
        <w:t>on mobile IAB</w:t>
      </w:r>
      <w:r w:rsidRPr="00887E98">
        <w:rPr>
          <w:sz w:val="21"/>
          <w:szCs w:val="21"/>
          <w:lang w:val="en-US"/>
        </w:rPr>
        <w:t xml:space="preserve"> RF requirements</w:t>
      </w:r>
      <w:r>
        <w:rPr>
          <w:sz w:val="21"/>
          <w:szCs w:val="21"/>
          <w:lang w:val="en-US"/>
        </w:rPr>
        <w:t xml:space="preserve"> and co-existence</w:t>
      </w:r>
      <w:r w:rsidRPr="00887E98">
        <w:rPr>
          <w:sz w:val="21"/>
          <w:szCs w:val="21"/>
          <w:lang w:val="en-US"/>
        </w:rPr>
        <w:t>, R4-230</w:t>
      </w:r>
      <w:r>
        <w:rPr>
          <w:sz w:val="21"/>
          <w:szCs w:val="21"/>
          <w:lang w:val="en-US"/>
        </w:rPr>
        <w:t>986</w:t>
      </w:r>
      <w:r w:rsidRPr="00887E98">
        <w:rPr>
          <w:sz w:val="21"/>
          <w:szCs w:val="21"/>
          <w:lang w:val="en-US"/>
        </w:rPr>
        <w:t>3 [1], is approved</w:t>
      </w:r>
      <w:r>
        <w:rPr>
          <w:sz w:val="21"/>
          <w:szCs w:val="21"/>
          <w:lang w:val="en-US"/>
        </w:rPr>
        <w:t xml:space="preserve">. </w:t>
      </w:r>
      <w:r w:rsidRPr="00887E98">
        <w:rPr>
          <w:sz w:val="21"/>
          <w:szCs w:val="21"/>
          <w:lang w:val="en-US"/>
        </w:rPr>
        <w:t xml:space="preserve">In this </w:t>
      </w:r>
      <w:r>
        <w:rPr>
          <w:sz w:val="21"/>
          <w:szCs w:val="21"/>
          <w:lang w:val="en-US"/>
        </w:rPr>
        <w:t>WF</w:t>
      </w:r>
      <w:r w:rsidRPr="00887E98">
        <w:rPr>
          <w:sz w:val="21"/>
          <w:szCs w:val="21"/>
          <w:lang w:val="en-US"/>
        </w:rPr>
        <w:t>,</w:t>
      </w:r>
      <w:r>
        <w:rPr>
          <w:sz w:val="21"/>
          <w:szCs w:val="21"/>
          <w:lang w:val="en-US"/>
        </w:rPr>
        <w:t xml:space="preserve"> the agreement for mobile IAB-MT RF requirements is described as followings:</w:t>
      </w:r>
    </w:p>
    <w:p w14:paraId="71150EFA" w14:textId="77777777" w:rsidR="00D63BB8" w:rsidRPr="00D526A7" w:rsidRDefault="00D63BB8" w:rsidP="00D63BB8">
      <w:pPr>
        <w:pBdr>
          <w:bottom w:val="single" w:sz="6" w:space="9" w:color="auto"/>
        </w:pBdr>
        <w:spacing w:before="240"/>
        <w:rPr>
          <w:b/>
          <w:bCs/>
          <w:sz w:val="21"/>
          <w:szCs w:val="21"/>
          <w:lang w:val="en-US"/>
        </w:rPr>
      </w:pPr>
      <w:r>
        <w:rPr>
          <w:sz w:val="21"/>
          <w:szCs w:val="21"/>
          <w:lang w:val="en-US"/>
        </w:rPr>
        <w:lastRenderedPageBreak/>
        <w:t xml:space="preserve">In this contribution, </w:t>
      </w:r>
      <w:r w:rsidRPr="00887E98">
        <w:rPr>
          <w:sz w:val="21"/>
          <w:szCs w:val="21"/>
          <w:lang w:val="en-US"/>
        </w:rPr>
        <w:t>the RF requirements for</w:t>
      </w:r>
      <w:r>
        <w:rPr>
          <w:sz w:val="21"/>
          <w:szCs w:val="21"/>
          <w:lang w:val="en-US"/>
        </w:rPr>
        <w:t xml:space="preserve"> mobile IAB</w:t>
      </w:r>
      <w:r w:rsidRPr="00887E98">
        <w:rPr>
          <w:sz w:val="21"/>
          <w:szCs w:val="21"/>
          <w:lang w:val="en-US"/>
        </w:rPr>
        <w:t xml:space="preserve">-MT are further discussed with our views based on </w:t>
      </w:r>
      <w:r>
        <w:rPr>
          <w:sz w:val="21"/>
          <w:szCs w:val="21"/>
          <w:lang w:val="en-US"/>
        </w:rPr>
        <w:t xml:space="preserve">above </w:t>
      </w:r>
      <w:r w:rsidRPr="00887E98">
        <w:rPr>
          <w:sz w:val="21"/>
          <w:szCs w:val="21"/>
          <w:lang w:val="en-US"/>
        </w:rPr>
        <w:t>WF.</w:t>
      </w:r>
    </w:p>
    <w:p w14:paraId="137AF180" w14:textId="6B722297" w:rsidR="00D63BB8" w:rsidRDefault="00D63BB8" w:rsidP="00D63BB8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t>Discussion</w:t>
      </w:r>
      <w:r w:rsidR="00B05A51">
        <w:rPr>
          <w:rFonts w:ascii="Arial" w:hAnsi="Arial" w:cs="Arial"/>
          <w:sz w:val="32"/>
          <w:szCs w:val="32"/>
          <w:lang w:val="en-US"/>
        </w:rPr>
        <w:t>s</w:t>
      </w:r>
    </w:p>
    <w:p w14:paraId="2A669FF7" w14:textId="5A22FDEF" w:rsidR="00D63BB8" w:rsidRPr="002B0A45" w:rsidRDefault="00D63BB8" w:rsidP="002B0A45">
      <w:pPr>
        <w:keepNext/>
        <w:keepLines/>
        <w:spacing w:before="180" w:line="240" w:lineRule="auto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BC4298">
        <w:rPr>
          <w:rFonts w:ascii="Arial" w:hAnsi="Arial" w:cs="Arial"/>
          <w:sz w:val="28"/>
          <w:szCs w:val="28"/>
          <w:lang w:val="en-US" w:eastAsia="zh-CN"/>
        </w:rPr>
        <w:t>2.1 IAB-MT RF requirements</w:t>
      </w:r>
    </w:p>
    <w:p w14:paraId="714ED0E8" w14:textId="61A335EB" w:rsidR="00F85F37" w:rsidRDefault="009B4B39" w:rsidP="00D63BB8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</w:t>
      </w:r>
      <w:r w:rsidR="00685E42">
        <w:rPr>
          <w:sz w:val="21"/>
          <w:szCs w:val="21"/>
          <w:lang w:val="en-US"/>
        </w:rPr>
        <w:t xml:space="preserve">static </w:t>
      </w:r>
      <w:r w:rsidR="00F85F37">
        <w:rPr>
          <w:sz w:val="21"/>
          <w:szCs w:val="21"/>
          <w:lang w:val="en-US"/>
        </w:rPr>
        <w:t>IAB-MT</w:t>
      </w:r>
      <w:r w:rsidR="002F1214">
        <w:rPr>
          <w:sz w:val="21"/>
          <w:szCs w:val="21"/>
          <w:lang w:val="en-US"/>
        </w:rPr>
        <w:t xml:space="preserve"> out</w:t>
      </w:r>
      <w:r w:rsidR="005726BD">
        <w:rPr>
          <w:sz w:val="21"/>
          <w:szCs w:val="21"/>
          <w:lang w:val="en-US"/>
        </w:rPr>
        <w:t xml:space="preserve">put </w:t>
      </w:r>
      <w:r w:rsidR="002F1214">
        <w:rPr>
          <w:sz w:val="21"/>
          <w:szCs w:val="21"/>
          <w:lang w:val="en-US"/>
        </w:rPr>
        <w:t>power</w:t>
      </w:r>
      <w:r w:rsidR="00F85F37">
        <w:rPr>
          <w:sz w:val="21"/>
          <w:szCs w:val="21"/>
          <w:lang w:val="en-US"/>
        </w:rPr>
        <w:t xml:space="preserve">, </w:t>
      </w:r>
      <w:r w:rsidR="00917E26">
        <w:rPr>
          <w:sz w:val="21"/>
          <w:szCs w:val="21"/>
          <w:lang w:val="en-US"/>
        </w:rPr>
        <w:t>the</w:t>
      </w:r>
      <w:r w:rsidR="00613010" w:rsidRPr="0080486D">
        <w:rPr>
          <w:sz w:val="21"/>
          <w:szCs w:val="21"/>
          <w:lang w:val="en-US"/>
        </w:rPr>
        <w:t xml:space="preserve"> limited output power and dynamic range </w:t>
      </w:r>
      <w:r w:rsidR="00796C9F">
        <w:rPr>
          <w:sz w:val="21"/>
          <w:szCs w:val="21"/>
          <w:lang w:val="en-US"/>
        </w:rPr>
        <w:t>can be</w:t>
      </w:r>
      <w:r w:rsidR="00613010" w:rsidRPr="0080486D">
        <w:rPr>
          <w:sz w:val="21"/>
          <w:szCs w:val="21"/>
          <w:lang w:val="en-US"/>
        </w:rPr>
        <w:t xml:space="preserve"> specified based on the IAB -MT classes, such as based on Table 6.2.1-2 in 38.174 for IAB-MT type 1-H rated output power limits for IAB-MT</w:t>
      </w:r>
      <w:r w:rsidR="00D12B51">
        <w:rPr>
          <w:sz w:val="21"/>
          <w:szCs w:val="21"/>
          <w:lang w:val="en-US"/>
        </w:rPr>
        <w:t>.</w:t>
      </w:r>
    </w:p>
    <w:p w14:paraId="304EFE96" w14:textId="61898D11" w:rsidR="00413813" w:rsidRDefault="00413813" w:rsidP="000D0C67">
      <w:pPr>
        <w:spacing w:after="0"/>
        <w:rPr>
          <w:sz w:val="21"/>
          <w:szCs w:val="21"/>
          <w:lang w:val="en-US"/>
        </w:rPr>
      </w:pPr>
      <w:r w:rsidRPr="004A6E2C">
        <w:rPr>
          <w:noProof/>
          <w:sz w:val="16"/>
          <w:szCs w:val="16"/>
        </w:rPr>
        <w:drawing>
          <wp:inline distT="0" distB="0" distL="0" distR="0" wp14:anchorId="74F5B770" wp14:editId="2DDBA64C">
            <wp:extent cx="5305425" cy="1247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38539" w14:textId="7A54D848" w:rsidR="00D63BB8" w:rsidRDefault="00D63BB8" w:rsidP="000D53A9">
      <w:pPr>
        <w:spacing w:before="24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For mobile IAB-MT out</w:t>
      </w:r>
      <w:r w:rsidR="00773395">
        <w:rPr>
          <w:sz w:val="21"/>
          <w:szCs w:val="21"/>
          <w:lang w:val="en-US"/>
        </w:rPr>
        <w:t>put</w:t>
      </w:r>
      <w:r>
        <w:rPr>
          <w:sz w:val="21"/>
          <w:szCs w:val="21"/>
          <w:lang w:val="en-US"/>
        </w:rPr>
        <w:t xml:space="preserve"> power and power control</w:t>
      </w:r>
      <w:r w:rsidR="00773395">
        <w:rPr>
          <w:sz w:val="21"/>
          <w:szCs w:val="21"/>
          <w:lang w:val="en-US"/>
        </w:rPr>
        <w:t xml:space="preserve"> dynamics</w:t>
      </w:r>
      <w:r>
        <w:rPr>
          <w:sz w:val="21"/>
          <w:szCs w:val="21"/>
          <w:lang w:val="en-US"/>
        </w:rPr>
        <w:t xml:space="preserve">, </w:t>
      </w:r>
      <w:r w:rsidR="00B579C0">
        <w:rPr>
          <w:sz w:val="21"/>
          <w:szCs w:val="21"/>
          <w:lang w:val="en-US"/>
        </w:rPr>
        <w:t xml:space="preserve">since we have to </w:t>
      </w:r>
      <w:r>
        <w:rPr>
          <w:sz w:val="21"/>
          <w:szCs w:val="21"/>
          <w:lang w:val="en-US"/>
        </w:rPr>
        <w:t xml:space="preserve">consider the </w:t>
      </w:r>
      <w:r w:rsidR="00C31355">
        <w:rPr>
          <w:sz w:val="21"/>
          <w:szCs w:val="21"/>
          <w:lang w:val="en-US"/>
        </w:rPr>
        <w:t xml:space="preserve">mobility of </w:t>
      </w:r>
      <w:r>
        <w:rPr>
          <w:sz w:val="21"/>
          <w:szCs w:val="21"/>
          <w:lang w:val="en-US"/>
        </w:rPr>
        <w:t>IAB-MT</w:t>
      </w:r>
      <w:r w:rsidR="004A7014">
        <w:rPr>
          <w:sz w:val="21"/>
          <w:szCs w:val="21"/>
          <w:lang w:val="en-US"/>
        </w:rPr>
        <w:t xml:space="preserve">, </w:t>
      </w:r>
      <w:r w:rsidR="00AC0F8E">
        <w:rPr>
          <w:sz w:val="21"/>
          <w:szCs w:val="21"/>
          <w:lang w:val="en-US"/>
        </w:rPr>
        <w:t xml:space="preserve">the static IAB-MT </w:t>
      </w:r>
      <w:r w:rsidR="002D0713">
        <w:rPr>
          <w:sz w:val="21"/>
          <w:szCs w:val="21"/>
          <w:lang w:val="en-US"/>
        </w:rPr>
        <w:t xml:space="preserve">requirements are no more appliable. </w:t>
      </w:r>
      <w:r w:rsidR="004A7014">
        <w:rPr>
          <w:sz w:val="21"/>
          <w:szCs w:val="21"/>
          <w:lang w:val="en-US"/>
        </w:rPr>
        <w:t xml:space="preserve"> </w:t>
      </w:r>
      <w:r w:rsidR="000D53A9">
        <w:rPr>
          <w:sz w:val="21"/>
          <w:szCs w:val="21"/>
          <w:lang w:val="en-US"/>
        </w:rPr>
        <w:t>Considering mobile IAB-MT</w:t>
      </w:r>
      <w:r w:rsidR="004C0DEB"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has similar functionality as UE, the requirement of power control for mobile IAB-MT can be treated as the same manner as UE</w:t>
      </w:r>
      <w:r w:rsidR="006916EC">
        <w:rPr>
          <w:sz w:val="21"/>
          <w:szCs w:val="21"/>
          <w:lang w:val="en-US"/>
        </w:rPr>
        <w:t xml:space="preserve"> and</w:t>
      </w:r>
      <w:r>
        <w:rPr>
          <w:sz w:val="21"/>
          <w:szCs w:val="21"/>
          <w:lang w:val="en-US"/>
        </w:rPr>
        <w:t xml:space="preserve"> </w:t>
      </w:r>
      <w:r w:rsidR="006916EC">
        <w:rPr>
          <w:sz w:val="21"/>
          <w:szCs w:val="21"/>
          <w:lang w:val="en-US"/>
        </w:rPr>
        <w:t xml:space="preserve">the </w:t>
      </w:r>
      <w:r>
        <w:rPr>
          <w:sz w:val="21"/>
          <w:szCs w:val="21"/>
          <w:lang w:val="en-US"/>
        </w:rPr>
        <w:t xml:space="preserve">similar approach for UE output power control and dynamics can be </w:t>
      </w:r>
      <w:r w:rsidR="00AD306A">
        <w:rPr>
          <w:sz w:val="21"/>
          <w:szCs w:val="21"/>
          <w:lang w:val="en-US"/>
        </w:rPr>
        <w:t xml:space="preserve">therefore </w:t>
      </w:r>
      <w:r>
        <w:rPr>
          <w:sz w:val="21"/>
          <w:szCs w:val="21"/>
          <w:lang w:val="en-US"/>
        </w:rPr>
        <w:t>specified</w:t>
      </w:r>
      <w:r w:rsidR="00E36503">
        <w:rPr>
          <w:sz w:val="21"/>
          <w:szCs w:val="21"/>
          <w:lang w:val="en-US"/>
        </w:rPr>
        <w:t xml:space="preserve"> for mobile IAB-MT.</w:t>
      </w:r>
    </w:p>
    <w:p w14:paraId="49A9AE0B" w14:textId="0A24CBE5" w:rsidR="006650F5" w:rsidRDefault="00D63BB8">
      <w:pPr>
        <w:rPr>
          <w:b/>
          <w:bCs/>
          <w:i/>
          <w:iCs/>
          <w:sz w:val="21"/>
          <w:szCs w:val="21"/>
          <w:lang w:val="en-US"/>
        </w:rPr>
      </w:pPr>
      <w:r>
        <w:rPr>
          <w:b/>
          <w:bCs/>
          <w:i/>
          <w:iCs/>
          <w:sz w:val="21"/>
          <w:szCs w:val="21"/>
          <w:lang w:val="en-US"/>
        </w:rPr>
        <w:t xml:space="preserve">Proposal </w:t>
      </w:r>
      <w:r w:rsidR="00042B58">
        <w:rPr>
          <w:b/>
          <w:bCs/>
          <w:i/>
          <w:iCs/>
          <w:sz w:val="21"/>
          <w:szCs w:val="21"/>
          <w:lang w:val="en-US"/>
        </w:rPr>
        <w:t>1</w:t>
      </w:r>
      <w:r>
        <w:rPr>
          <w:b/>
          <w:bCs/>
          <w:i/>
          <w:iCs/>
          <w:sz w:val="21"/>
          <w:szCs w:val="21"/>
          <w:lang w:val="en-US"/>
        </w:rPr>
        <w:t xml:space="preserve">: It is suggested </w:t>
      </w:r>
      <w:r w:rsidR="00E86FE5">
        <w:rPr>
          <w:b/>
          <w:bCs/>
          <w:i/>
          <w:iCs/>
          <w:sz w:val="21"/>
          <w:szCs w:val="21"/>
          <w:lang w:val="en-US"/>
        </w:rPr>
        <w:t>out</w:t>
      </w:r>
      <w:r w:rsidR="005C0005">
        <w:rPr>
          <w:b/>
          <w:bCs/>
          <w:i/>
          <w:iCs/>
          <w:sz w:val="21"/>
          <w:szCs w:val="21"/>
          <w:lang w:val="en-US"/>
        </w:rPr>
        <w:t xml:space="preserve">put </w:t>
      </w:r>
      <w:r>
        <w:rPr>
          <w:b/>
          <w:bCs/>
          <w:i/>
          <w:iCs/>
          <w:sz w:val="21"/>
          <w:szCs w:val="21"/>
          <w:lang w:val="en-US"/>
        </w:rPr>
        <w:t xml:space="preserve">power control </w:t>
      </w:r>
      <w:r w:rsidR="005C0005">
        <w:rPr>
          <w:b/>
          <w:bCs/>
          <w:i/>
          <w:iCs/>
          <w:sz w:val="21"/>
          <w:szCs w:val="21"/>
          <w:lang w:val="en-US"/>
        </w:rPr>
        <w:t xml:space="preserve">dynamics </w:t>
      </w:r>
      <w:r>
        <w:rPr>
          <w:b/>
          <w:bCs/>
          <w:i/>
          <w:iCs/>
          <w:sz w:val="21"/>
          <w:szCs w:val="21"/>
          <w:lang w:val="en-US"/>
        </w:rPr>
        <w:t>for mobile IAB-MT may be appliable with the same manner as UE</w:t>
      </w:r>
      <w:r w:rsidR="00501C9B">
        <w:rPr>
          <w:b/>
          <w:bCs/>
          <w:i/>
          <w:iCs/>
          <w:sz w:val="21"/>
          <w:szCs w:val="21"/>
          <w:lang w:val="en-US"/>
        </w:rPr>
        <w:t>.</w:t>
      </w:r>
    </w:p>
    <w:p w14:paraId="7657DD95" w14:textId="546FE9D0" w:rsidR="000A55BB" w:rsidRPr="00970AA7" w:rsidRDefault="00233917" w:rsidP="00E36503">
      <w:pPr>
        <w:spacing w:before="240" w:after="0"/>
        <w:rPr>
          <w:rFonts w:ascii="Arial" w:hAnsi="Arial" w:cs="Arial"/>
          <w:sz w:val="28"/>
          <w:szCs w:val="28"/>
        </w:rPr>
      </w:pPr>
      <w:r w:rsidRPr="00970AA7">
        <w:rPr>
          <w:rFonts w:ascii="Arial" w:hAnsi="Arial" w:cs="Arial"/>
          <w:sz w:val="28"/>
          <w:szCs w:val="28"/>
        </w:rPr>
        <w:t xml:space="preserve">2.2 </w:t>
      </w:r>
      <w:r w:rsidR="000A55BB" w:rsidRPr="00970AA7">
        <w:rPr>
          <w:rFonts w:ascii="Arial" w:hAnsi="Arial" w:cs="Arial"/>
          <w:sz w:val="28"/>
          <w:szCs w:val="28"/>
        </w:rPr>
        <w:t>IAB-DU antenna modelling</w:t>
      </w:r>
    </w:p>
    <w:p w14:paraId="79BC6912" w14:textId="3AFC2C7A" w:rsidR="000A55BB" w:rsidRPr="00E36503" w:rsidRDefault="000A55BB" w:rsidP="0060276B">
      <w:pPr>
        <w:spacing w:before="240" w:after="0" w:line="256" w:lineRule="auto"/>
        <w:rPr>
          <w:sz w:val="21"/>
          <w:szCs w:val="21"/>
          <w:lang w:eastAsia="zh-CN"/>
        </w:rPr>
      </w:pPr>
      <w:r w:rsidRPr="000A55BB">
        <w:rPr>
          <w:sz w:val="21"/>
          <w:szCs w:val="21"/>
          <w:lang w:val="en-US"/>
        </w:rPr>
        <w:t xml:space="preserve">Based on the previous meeting agreements, it was defined that the </w:t>
      </w:r>
      <w:r w:rsidRPr="000A55BB">
        <w:rPr>
          <w:sz w:val="21"/>
          <w:szCs w:val="21"/>
          <w:lang w:eastAsia="zh-CN"/>
        </w:rPr>
        <w:t xml:space="preserve">antenna installation for mobile IAB-MT is outside the vehicle (e.g rooftop) and for mobile IAB-DU is inside the vehicle.  </w:t>
      </w:r>
    </w:p>
    <w:p w14:paraId="4C17C36F" w14:textId="79622B76" w:rsidR="000A55BB" w:rsidRDefault="000A55BB" w:rsidP="00E36503">
      <w:pPr>
        <w:spacing w:before="240" w:line="256" w:lineRule="auto"/>
        <w:rPr>
          <w:sz w:val="21"/>
          <w:szCs w:val="21"/>
        </w:rPr>
      </w:pPr>
      <w:r w:rsidRPr="000A55BB">
        <w:rPr>
          <w:sz w:val="21"/>
          <w:szCs w:val="21"/>
          <w:lang w:val="en-US"/>
        </w:rPr>
        <w:t xml:space="preserve">For </w:t>
      </w:r>
      <w:r>
        <w:rPr>
          <w:sz w:val="21"/>
          <w:szCs w:val="21"/>
          <w:lang w:val="en-US"/>
        </w:rPr>
        <w:t xml:space="preserve">mobile </w:t>
      </w:r>
      <w:r w:rsidRPr="000A55BB">
        <w:rPr>
          <w:sz w:val="21"/>
          <w:szCs w:val="21"/>
          <w:lang w:val="en-US"/>
        </w:rPr>
        <w:t xml:space="preserve">IAB-MT antenna modelling, </w:t>
      </w:r>
      <w:r>
        <w:rPr>
          <w:sz w:val="21"/>
          <w:szCs w:val="21"/>
          <w:lang w:val="en-US"/>
        </w:rPr>
        <w:t xml:space="preserve">in last meeting, </w:t>
      </w:r>
      <w:r w:rsidRPr="000A55BB">
        <w:rPr>
          <w:sz w:val="21"/>
          <w:szCs w:val="21"/>
          <w:lang w:val="en-US"/>
        </w:rPr>
        <w:t xml:space="preserve">it was agreed to </w:t>
      </w:r>
      <w:r w:rsidRPr="000A55BB">
        <w:rPr>
          <w:sz w:val="21"/>
          <w:szCs w:val="21"/>
        </w:rPr>
        <w:t>consider the 3 panel with 120-degree shift IAB-MT antenna model in coexisting simulation.</w:t>
      </w:r>
    </w:p>
    <w:p w14:paraId="2DFB8C4C" w14:textId="74C36B1E" w:rsidR="00D63BB8" w:rsidRPr="000A55BB" w:rsidRDefault="000A55BB" w:rsidP="00A75A9C">
      <w:pPr>
        <w:spacing w:line="256" w:lineRule="auto"/>
        <w:rPr>
          <w:sz w:val="21"/>
          <w:szCs w:val="21"/>
          <w:lang w:val="en-US"/>
        </w:rPr>
      </w:pPr>
      <w:r w:rsidRPr="000A55BB">
        <w:rPr>
          <w:sz w:val="21"/>
          <w:szCs w:val="21"/>
          <w:lang w:val="en-US"/>
        </w:rPr>
        <w:t>For mobile IAB-DU antenna model</w:t>
      </w:r>
      <w:r>
        <w:rPr>
          <w:sz w:val="21"/>
          <w:szCs w:val="21"/>
          <w:lang w:val="en-US"/>
        </w:rPr>
        <w:t xml:space="preserve">ling, </w:t>
      </w:r>
      <w:r w:rsidR="00224447">
        <w:rPr>
          <w:sz w:val="21"/>
          <w:szCs w:val="21"/>
          <w:lang w:val="en-US"/>
        </w:rPr>
        <w:t xml:space="preserve">since the </w:t>
      </w:r>
      <w:r w:rsidR="003E24C7">
        <w:rPr>
          <w:sz w:val="21"/>
          <w:szCs w:val="21"/>
          <w:lang w:val="en-US"/>
        </w:rPr>
        <w:t xml:space="preserve">installation of </w:t>
      </w:r>
      <w:r w:rsidR="00224447">
        <w:rPr>
          <w:sz w:val="21"/>
          <w:szCs w:val="21"/>
          <w:lang w:val="en-US"/>
        </w:rPr>
        <w:t xml:space="preserve">IAB-DU </w:t>
      </w:r>
      <w:r w:rsidR="003E24C7">
        <w:rPr>
          <w:sz w:val="21"/>
          <w:szCs w:val="21"/>
          <w:lang w:val="en-US"/>
        </w:rPr>
        <w:t xml:space="preserve">antenna is inside of vehicle </w:t>
      </w:r>
      <w:r w:rsidR="00726742">
        <w:rPr>
          <w:sz w:val="21"/>
          <w:szCs w:val="21"/>
          <w:lang w:val="en-US"/>
        </w:rPr>
        <w:t xml:space="preserve">there </w:t>
      </w:r>
      <w:r w:rsidR="009D1F34">
        <w:rPr>
          <w:sz w:val="21"/>
          <w:szCs w:val="21"/>
          <w:lang w:val="en-US"/>
        </w:rPr>
        <w:t>may be different deployment s</w:t>
      </w:r>
      <w:r w:rsidR="009252DE">
        <w:rPr>
          <w:sz w:val="21"/>
          <w:szCs w:val="21"/>
          <w:lang w:val="en-US"/>
        </w:rPr>
        <w:t>cenarios</w:t>
      </w:r>
      <w:r w:rsidR="0076503C">
        <w:rPr>
          <w:sz w:val="21"/>
          <w:szCs w:val="21"/>
          <w:lang w:val="en-US"/>
        </w:rPr>
        <w:t xml:space="preserve">. </w:t>
      </w:r>
      <w:r w:rsidR="00726742">
        <w:rPr>
          <w:sz w:val="21"/>
          <w:szCs w:val="21"/>
          <w:lang w:val="en-US"/>
        </w:rPr>
        <w:t xml:space="preserve">Some </w:t>
      </w:r>
      <w:r w:rsidR="005E4DAE">
        <w:rPr>
          <w:sz w:val="21"/>
          <w:szCs w:val="21"/>
          <w:lang w:val="en-US"/>
        </w:rPr>
        <w:t>of factors such as</w:t>
      </w:r>
      <w:r w:rsidR="002B50C7">
        <w:rPr>
          <w:sz w:val="21"/>
          <w:szCs w:val="21"/>
          <w:lang w:val="en-US"/>
        </w:rPr>
        <w:t xml:space="preserve"> </w:t>
      </w:r>
      <w:r w:rsidR="00772FC4">
        <w:rPr>
          <w:sz w:val="21"/>
          <w:szCs w:val="21"/>
          <w:lang w:val="en-US"/>
        </w:rPr>
        <w:t xml:space="preserve">antenna </w:t>
      </w:r>
      <w:r w:rsidR="00135DB9">
        <w:rPr>
          <w:sz w:val="21"/>
          <w:szCs w:val="21"/>
          <w:lang w:val="en-US"/>
        </w:rPr>
        <w:t xml:space="preserve">configuration and placement in </w:t>
      </w:r>
      <w:r w:rsidR="007552D0">
        <w:rPr>
          <w:sz w:val="21"/>
          <w:szCs w:val="21"/>
          <w:lang w:val="en-US"/>
        </w:rPr>
        <w:t xml:space="preserve">vehicle will be </w:t>
      </w:r>
      <w:r w:rsidR="00BC3C99">
        <w:rPr>
          <w:sz w:val="21"/>
          <w:szCs w:val="21"/>
          <w:lang w:val="en-US"/>
        </w:rPr>
        <w:t xml:space="preserve">quite </w:t>
      </w:r>
      <w:r w:rsidR="007642A5">
        <w:rPr>
          <w:sz w:val="21"/>
          <w:szCs w:val="21"/>
          <w:lang w:val="en-US"/>
        </w:rPr>
        <w:t xml:space="preserve">different </w:t>
      </w:r>
      <w:r w:rsidR="00BC3C99">
        <w:rPr>
          <w:sz w:val="21"/>
          <w:szCs w:val="21"/>
          <w:lang w:val="en-US"/>
        </w:rPr>
        <w:t xml:space="preserve">from mobile IAB-MT. </w:t>
      </w:r>
      <w:r w:rsidR="005E4DAE">
        <w:rPr>
          <w:sz w:val="21"/>
          <w:szCs w:val="21"/>
          <w:lang w:val="en-US"/>
        </w:rPr>
        <w:t xml:space="preserve"> </w:t>
      </w:r>
      <w:r w:rsidR="008330BE">
        <w:rPr>
          <w:sz w:val="21"/>
          <w:szCs w:val="21"/>
          <w:lang w:val="en-US"/>
        </w:rPr>
        <w:t xml:space="preserve"> We think it </w:t>
      </w:r>
      <w:r w:rsidR="00960672">
        <w:rPr>
          <w:sz w:val="21"/>
          <w:szCs w:val="21"/>
          <w:lang w:val="en-US"/>
        </w:rPr>
        <w:t>m</w:t>
      </w:r>
      <w:r w:rsidR="00E707CB">
        <w:rPr>
          <w:sz w:val="21"/>
          <w:szCs w:val="21"/>
          <w:lang w:val="en-US"/>
        </w:rPr>
        <w:t>a</w:t>
      </w:r>
      <w:r w:rsidR="00960672">
        <w:rPr>
          <w:sz w:val="21"/>
          <w:szCs w:val="21"/>
          <w:lang w:val="en-US"/>
        </w:rPr>
        <w:t>y</w:t>
      </w:r>
      <w:r w:rsidR="008330BE">
        <w:rPr>
          <w:sz w:val="21"/>
          <w:szCs w:val="21"/>
          <w:lang w:val="en-US"/>
        </w:rPr>
        <w:t xml:space="preserve"> </w:t>
      </w:r>
      <w:r w:rsidR="00B722BE">
        <w:rPr>
          <w:sz w:val="21"/>
          <w:szCs w:val="21"/>
          <w:lang w:val="en-US"/>
        </w:rPr>
        <w:t>need to modify the</w:t>
      </w:r>
      <w:r w:rsidR="00D262F2">
        <w:rPr>
          <w:sz w:val="21"/>
          <w:szCs w:val="21"/>
          <w:lang w:val="en-US"/>
        </w:rPr>
        <w:t xml:space="preserve"> IAB-DU</w:t>
      </w:r>
      <w:r w:rsidR="00B722BE">
        <w:rPr>
          <w:sz w:val="21"/>
          <w:szCs w:val="21"/>
          <w:lang w:val="en-US"/>
        </w:rPr>
        <w:t xml:space="preserve"> antenna modelling from IAB-MT</w:t>
      </w:r>
      <w:r w:rsidR="00E707CB">
        <w:rPr>
          <w:sz w:val="21"/>
          <w:szCs w:val="21"/>
          <w:lang w:val="en-US"/>
        </w:rPr>
        <w:t xml:space="preserve"> though it is agreed that</w:t>
      </w:r>
      <w:r w:rsidR="001973EE">
        <w:rPr>
          <w:sz w:val="21"/>
          <w:szCs w:val="21"/>
          <w:lang w:val="en-US"/>
        </w:rPr>
        <w:t xml:space="preserve"> using the same assumption f</w:t>
      </w:r>
      <w:r w:rsidR="00D13C32">
        <w:rPr>
          <w:sz w:val="21"/>
          <w:szCs w:val="21"/>
          <w:lang w:val="en-US"/>
        </w:rPr>
        <w:t xml:space="preserve">or mobile IAB-DU </w:t>
      </w:r>
      <w:r w:rsidR="0019256F">
        <w:rPr>
          <w:sz w:val="21"/>
          <w:szCs w:val="21"/>
          <w:lang w:val="en-US"/>
        </w:rPr>
        <w:t>and IAB</w:t>
      </w:r>
      <w:r w:rsidR="00E707CB">
        <w:rPr>
          <w:sz w:val="21"/>
          <w:szCs w:val="21"/>
          <w:lang w:val="en-US"/>
        </w:rPr>
        <w:t>-MT antenna modelling as start</w:t>
      </w:r>
      <w:r w:rsidR="00ED3EE8">
        <w:rPr>
          <w:sz w:val="21"/>
          <w:szCs w:val="21"/>
          <w:lang w:val="en-US"/>
        </w:rPr>
        <w:t>ing</w:t>
      </w:r>
      <w:r w:rsidR="00E707CB">
        <w:rPr>
          <w:sz w:val="21"/>
          <w:szCs w:val="21"/>
          <w:lang w:val="en-US"/>
        </w:rPr>
        <w:t xml:space="preserve"> point. </w:t>
      </w:r>
    </w:p>
    <w:p w14:paraId="6C267DBD" w14:textId="737913A7" w:rsidR="000A55BB" w:rsidRPr="00212E93" w:rsidRDefault="00A75A9C">
      <w:pPr>
        <w:rPr>
          <w:b/>
          <w:bCs/>
          <w:i/>
          <w:iCs/>
          <w:sz w:val="21"/>
          <w:szCs w:val="21"/>
          <w:lang w:val="en-US"/>
        </w:rPr>
      </w:pPr>
      <w:r w:rsidRPr="00212E93">
        <w:rPr>
          <w:b/>
          <w:bCs/>
          <w:i/>
          <w:iCs/>
          <w:sz w:val="21"/>
          <w:szCs w:val="21"/>
          <w:lang w:val="en-US"/>
        </w:rPr>
        <w:t xml:space="preserve">Proposal </w:t>
      </w:r>
      <w:r w:rsidR="00042B58">
        <w:rPr>
          <w:b/>
          <w:bCs/>
          <w:i/>
          <w:iCs/>
          <w:sz w:val="21"/>
          <w:szCs w:val="21"/>
          <w:lang w:val="en-US"/>
        </w:rPr>
        <w:t>2</w:t>
      </w:r>
      <w:r w:rsidRPr="00212E93">
        <w:rPr>
          <w:b/>
          <w:bCs/>
          <w:i/>
          <w:iCs/>
          <w:sz w:val="21"/>
          <w:szCs w:val="21"/>
          <w:lang w:val="en-US"/>
        </w:rPr>
        <w:t>: It is fine to re</w:t>
      </w:r>
      <w:r w:rsidR="00ED3EE8" w:rsidRPr="00212E93">
        <w:rPr>
          <w:b/>
          <w:bCs/>
          <w:i/>
          <w:iCs/>
          <w:sz w:val="21"/>
          <w:szCs w:val="21"/>
          <w:lang w:val="en-US"/>
        </w:rPr>
        <w:t>use</w:t>
      </w:r>
      <w:r w:rsidR="002455AF" w:rsidRPr="00212E93">
        <w:rPr>
          <w:b/>
          <w:bCs/>
          <w:i/>
          <w:iCs/>
          <w:sz w:val="21"/>
          <w:szCs w:val="21"/>
          <w:lang w:val="en-US"/>
        </w:rPr>
        <w:t xml:space="preserve"> IAB-MT antenna modelling for mobile IAB </w:t>
      </w:r>
      <w:r w:rsidR="00212E93">
        <w:rPr>
          <w:b/>
          <w:bCs/>
          <w:i/>
          <w:iCs/>
          <w:sz w:val="21"/>
          <w:szCs w:val="21"/>
          <w:lang w:val="en-US"/>
        </w:rPr>
        <w:t xml:space="preserve">as starting point </w:t>
      </w:r>
      <w:r w:rsidR="008E7D27" w:rsidRPr="00212E93">
        <w:rPr>
          <w:b/>
          <w:bCs/>
          <w:i/>
          <w:iCs/>
          <w:sz w:val="21"/>
          <w:szCs w:val="21"/>
          <w:lang w:val="en-US"/>
        </w:rPr>
        <w:t xml:space="preserve">and suggested to further study </w:t>
      </w:r>
      <w:r w:rsidR="00212E93" w:rsidRPr="00212E93">
        <w:rPr>
          <w:b/>
          <w:bCs/>
          <w:i/>
          <w:iCs/>
          <w:sz w:val="21"/>
          <w:szCs w:val="21"/>
          <w:lang w:val="en-US"/>
        </w:rPr>
        <w:t>and specify the antenna modelling for mobile IAB-DU.</w:t>
      </w:r>
    </w:p>
    <w:p w14:paraId="486D4C5A" w14:textId="1C4D3F6E" w:rsidR="00D63BB8" w:rsidRDefault="00D63BB8" w:rsidP="00D63BB8">
      <w:pPr>
        <w:pStyle w:val="ListParagraph"/>
        <w:numPr>
          <w:ilvl w:val="0"/>
          <w:numId w:val="2"/>
        </w:numPr>
        <w:ind w:firstLineChars="0"/>
        <w:rPr>
          <w:rFonts w:ascii="Arial" w:hAnsi="Arial" w:cs="Arial"/>
          <w:sz w:val="32"/>
          <w:szCs w:val="32"/>
        </w:rPr>
      </w:pPr>
      <w:r w:rsidRPr="00D63BB8">
        <w:rPr>
          <w:rFonts w:ascii="Arial" w:hAnsi="Arial" w:cs="Arial"/>
          <w:sz w:val="32"/>
          <w:szCs w:val="32"/>
        </w:rPr>
        <w:t>Conclusion</w:t>
      </w:r>
    </w:p>
    <w:p w14:paraId="2B7D6C1C" w14:textId="77777777" w:rsidR="00D63BB8" w:rsidRPr="00D63BB8" w:rsidRDefault="00D63BB8" w:rsidP="00D63BB8">
      <w:pPr>
        <w:jc w:val="both"/>
        <w:rPr>
          <w:rFonts w:eastAsia="MS Mincho"/>
          <w:sz w:val="21"/>
          <w:szCs w:val="21"/>
          <w:lang w:val="en-US"/>
        </w:rPr>
      </w:pPr>
      <w:r w:rsidRPr="00D63BB8">
        <w:rPr>
          <w:sz w:val="21"/>
          <w:szCs w:val="21"/>
          <w:lang w:val="en-US"/>
        </w:rPr>
        <w:t>In this contribution, we have further discussed RF requirement issues for mobile IAB and make the following proposals:</w:t>
      </w:r>
    </w:p>
    <w:p w14:paraId="0BE52CF2" w14:textId="77777777" w:rsidR="00244AD3" w:rsidRDefault="00244AD3" w:rsidP="00244AD3">
      <w:pPr>
        <w:rPr>
          <w:b/>
          <w:bCs/>
          <w:i/>
          <w:iCs/>
          <w:sz w:val="21"/>
          <w:szCs w:val="21"/>
          <w:lang w:val="en-US"/>
        </w:rPr>
      </w:pPr>
      <w:r>
        <w:rPr>
          <w:b/>
          <w:bCs/>
          <w:i/>
          <w:iCs/>
          <w:sz w:val="21"/>
          <w:szCs w:val="21"/>
          <w:lang w:val="en-US"/>
        </w:rPr>
        <w:lastRenderedPageBreak/>
        <w:t>Proposal 1: It is suggested output power control dynamics for mobile IAB-MT may be appliable with the same manner as UE.</w:t>
      </w:r>
    </w:p>
    <w:p w14:paraId="5A871A87" w14:textId="6825CC3A" w:rsidR="00D63BB8" w:rsidRPr="00CF4D9B" w:rsidRDefault="00CF4D9B" w:rsidP="00CF4D9B">
      <w:pPr>
        <w:spacing w:before="240"/>
        <w:rPr>
          <w:b/>
          <w:bCs/>
          <w:i/>
          <w:iCs/>
          <w:sz w:val="21"/>
          <w:szCs w:val="21"/>
          <w:lang w:val="en-US"/>
        </w:rPr>
      </w:pPr>
      <w:r w:rsidRPr="00212E93">
        <w:rPr>
          <w:b/>
          <w:bCs/>
          <w:i/>
          <w:iCs/>
          <w:sz w:val="21"/>
          <w:szCs w:val="21"/>
          <w:lang w:val="en-US"/>
        </w:rPr>
        <w:t xml:space="preserve">Proposal </w:t>
      </w:r>
      <w:r>
        <w:rPr>
          <w:b/>
          <w:bCs/>
          <w:i/>
          <w:iCs/>
          <w:sz w:val="21"/>
          <w:szCs w:val="21"/>
          <w:lang w:val="en-US"/>
        </w:rPr>
        <w:t>2</w:t>
      </w:r>
      <w:r w:rsidRPr="00212E93">
        <w:rPr>
          <w:b/>
          <w:bCs/>
          <w:i/>
          <w:iCs/>
          <w:sz w:val="21"/>
          <w:szCs w:val="21"/>
          <w:lang w:val="en-US"/>
        </w:rPr>
        <w:t xml:space="preserve">: It is fine to reuse IAB-MT antenna modelling for mobile IAB </w:t>
      </w:r>
      <w:r>
        <w:rPr>
          <w:b/>
          <w:bCs/>
          <w:i/>
          <w:iCs/>
          <w:sz w:val="21"/>
          <w:szCs w:val="21"/>
          <w:lang w:val="en-US"/>
        </w:rPr>
        <w:t xml:space="preserve">as starting point </w:t>
      </w:r>
      <w:r w:rsidRPr="00212E93">
        <w:rPr>
          <w:b/>
          <w:bCs/>
          <w:i/>
          <w:iCs/>
          <w:sz w:val="21"/>
          <w:szCs w:val="21"/>
          <w:lang w:val="en-US"/>
        </w:rPr>
        <w:t>and suggested to further study and specify the antenna modelling for mobile IAB-DU.</w:t>
      </w:r>
    </w:p>
    <w:p w14:paraId="77B9EDAF" w14:textId="32A3C486" w:rsidR="00D63BB8" w:rsidRDefault="00D63BB8" w:rsidP="00CF4D9B">
      <w:pPr>
        <w:pStyle w:val="ListParagraph"/>
        <w:numPr>
          <w:ilvl w:val="0"/>
          <w:numId w:val="2"/>
        </w:numPr>
        <w:spacing w:before="240"/>
        <w:ind w:firstLineChars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References</w:t>
      </w:r>
    </w:p>
    <w:p w14:paraId="7C347E94" w14:textId="77777777" w:rsidR="00D63BB8" w:rsidRPr="00D63BB8" w:rsidRDefault="00D63BB8" w:rsidP="00D63BB8">
      <w:pPr>
        <w:jc w:val="both"/>
        <w:rPr>
          <w:sz w:val="21"/>
          <w:szCs w:val="21"/>
          <w:lang w:eastAsia="zh-CN"/>
        </w:rPr>
      </w:pPr>
      <w:r>
        <w:rPr>
          <w:lang w:eastAsia="zh-CN"/>
        </w:rPr>
        <w:t xml:space="preserve">[1] </w:t>
      </w:r>
      <w:r w:rsidRPr="00D63BB8">
        <w:rPr>
          <w:sz w:val="21"/>
          <w:szCs w:val="21"/>
          <w:lang w:eastAsia="zh-CN"/>
        </w:rPr>
        <w:t>R4-2309863 WF on mIAB RF requirement and coexistence</w:t>
      </w:r>
    </w:p>
    <w:p w14:paraId="04E8E6EF" w14:textId="77777777" w:rsidR="00D63BB8" w:rsidRPr="00D63BB8" w:rsidRDefault="00D63BB8" w:rsidP="00D63BB8">
      <w:pPr>
        <w:jc w:val="both"/>
        <w:rPr>
          <w:sz w:val="21"/>
          <w:szCs w:val="21"/>
          <w:lang w:eastAsia="zh-CN"/>
        </w:rPr>
      </w:pPr>
      <w:r w:rsidRPr="00D63BB8">
        <w:rPr>
          <w:sz w:val="21"/>
          <w:szCs w:val="21"/>
          <w:lang w:eastAsia="zh-CN"/>
        </w:rPr>
        <w:t>[2] R4-2310452 Summary for [107][314] NR_mobile_IAB_RF</w:t>
      </w:r>
    </w:p>
    <w:p w14:paraId="75F01957" w14:textId="77777777" w:rsidR="00D63BB8" w:rsidRPr="00D63BB8" w:rsidRDefault="00D63BB8" w:rsidP="00D63BB8">
      <w:pPr>
        <w:jc w:val="both"/>
        <w:rPr>
          <w:sz w:val="21"/>
          <w:szCs w:val="21"/>
          <w:lang w:eastAsia="zh-CN"/>
        </w:rPr>
      </w:pPr>
      <w:r w:rsidRPr="00D63BB8">
        <w:rPr>
          <w:sz w:val="21"/>
          <w:szCs w:val="21"/>
          <w:lang w:eastAsia="zh-CN"/>
        </w:rPr>
        <w:t>[3] R4-2308619</w:t>
      </w:r>
      <w:r w:rsidRPr="00D63BB8">
        <w:rPr>
          <w:sz w:val="21"/>
          <w:szCs w:val="21"/>
        </w:rPr>
        <w:t xml:space="preserve"> </w:t>
      </w:r>
      <w:r w:rsidRPr="00D63BB8">
        <w:rPr>
          <w:sz w:val="21"/>
          <w:szCs w:val="21"/>
          <w:lang w:eastAsia="zh-CN"/>
        </w:rPr>
        <w:t>Considerations on mobile IAB RF requirements</w:t>
      </w:r>
    </w:p>
    <w:p w14:paraId="1709197E" w14:textId="4671321A" w:rsidR="00D63BB8" w:rsidRPr="00D63BB8" w:rsidRDefault="00D63BB8" w:rsidP="00D63BB8">
      <w:pPr>
        <w:rPr>
          <w:sz w:val="21"/>
          <w:szCs w:val="21"/>
        </w:rPr>
      </w:pPr>
      <w:r w:rsidRPr="00D63BB8">
        <w:rPr>
          <w:sz w:val="21"/>
          <w:szCs w:val="21"/>
        </w:rPr>
        <w:t>[4] RP-222671 Mobile IAB (Integrated Access and Backhaul) for NR</w:t>
      </w:r>
    </w:p>
    <w:p w14:paraId="4FB708BE" w14:textId="77777777" w:rsidR="00D63BB8" w:rsidRPr="00D63BB8" w:rsidRDefault="00D63BB8" w:rsidP="00D63BB8">
      <w:pPr>
        <w:rPr>
          <w:rFonts w:ascii="Arial" w:hAnsi="Arial" w:cs="Arial"/>
          <w:sz w:val="21"/>
          <w:szCs w:val="21"/>
        </w:rPr>
      </w:pPr>
    </w:p>
    <w:sectPr w:rsidR="00D63BB8" w:rsidRPr="00D63BB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4BE63" w14:textId="77777777" w:rsidR="00D63BB8" w:rsidRDefault="00D63BB8" w:rsidP="00D63BB8">
      <w:pPr>
        <w:spacing w:after="0" w:line="240" w:lineRule="auto"/>
      </w:pPr>
      <w:r>
        <w:separator/>
      </w:r>
    </w:p>
  </w:endnote>
  <w:endnote w:type="continuationSeparator" w:id="0">
    <w:p w14:paraId="332BD9E6" w14:textId="77777777" w:rsidR="00D63BB8" w:rsidRDefault="00D63BB8" w:rsidP="00D6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28CD" w14:textId="524C8B7D" w:rsidR="000A55BB" w:rsidRDefault="000A55B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900C28" wp14:editId="6DBDC387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7f544009a561c5282d5856f5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429AF8" w14:textId="041A48F3" w:rsidR="000A55BB" w:rsidRPr="000A55BB" w:rsidRDefault="000A55BB" w:rsidP="000A55BB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0A55BB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00C28" id="_x0000_t202" coordsize="21600,21600" o:spt="202" path="m,l,21600r21600,l21600,xe">
              <v:stroke joinstyle="miter"/>
              <v:path gradientshapeok="t" o:connecttype="rect"/>
            </v:shapetype>
            <v:shape id="MSIPCM7f544009a561c5282d5856f5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fill o:detectmouseclick="t"/>
              <v:textbox inset="20pt,0,,0">
                <w:txbxContent>
                  <w:p w14:paraId="57429AF8" w14:textId="041A48F3" w:rsidR="000A55BB" w:rsidRPr="000A55BB" w:rsidRDefault="000A55BB" w:rsidP="000A55BB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0A55BB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31CB" w14:textId="77777777" w:rsidR="00D63BB8" w:rsidRDefault="00D63BB8" w:rsidP="00D63BB8">
      <w:pPr>
        <w:spacing w:after="0" w:line="240" w:lineRule="auto"/>
      </w:pPr>
      <w:r>
        <w:separator/>
      </w:r>
    </w:p>
  </w:footnote>
  <w:footnote w:type="continuationSeparator" w:id="0">
    <w:p w14:paraId="6794D68E" w14:textId="77777777" w:rsidR="00D63BB8" w:rsidRDefault="00D63BB8" w:rsidP="00D6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95505"/>
    <w:multiLevelType w:val="hybridMultilevel"/>
    <w:tmpl w:val="05A4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D039A1"/>
    <w:multiLevelType w:val="hybridMultilevel"/>
    <w:tmpl w:val="1A58E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973C3"/>
    <w:multiLevelType w:val="hybridMultilevel"/>
    <w:tmpl w:val="04B284A8"/>
    <w:lvl w:ilvl="0" w:tplc="00C84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352407">
    <w:abstractNumId w:val="2"/>
  </w:num>
  <w:num w:numId="2" w16cid:durableId="31276145">
    <w:abstractNumId w:val="7"/>
  </w:num>
  <w:num w:numId="3" w16cid:durableId="193785944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6590074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69183711">
    <w:abstractNumId w:val="1"/>
  </w:num>
  <w:num w:numId="6" w16cid:durableId="168435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710013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2000226">
    <w:abstractNumId w:val="0"/>
  </w:num>
  <w:num w:numId="9" w16cid:durableId="1072317077">
    <w:abstractNumId w:val="3"/>
  </w:num>
  <w:num w:numId="10" w16cid:durableId="848836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BB8"/>
    <w:rsid w:val="0002427F"/>
    <w:rsid w:val="00042B58"/>
    <w:rsid w:val="000600E0"/>
    <w:rsid w:val="000A55BB"/>
    <w:rsid w:val="000C1C79"/>
    <w:rsid w:val="000C3211"/>
    <w:rsid w:val="000D0C67"/>
    <w:rsid w:val="000D53A9"/>
    <w:rsid w:val="000E26E2"/>
    <w:rsid w:val="00105875"/>
    <w:rsid w:val="00135DB9"/>
    <w:rsid w:val="00152E95"/>
    <w:rsid w:val="0019256F"/>
    <w:rsid w:val="001973EE"/>
    <w:rsid w:val="00212E93"/>
    <w:rsid w:val="00224447"/>
    <w:rsid w:val="00233917"/>
    <w:rsid w:val="002415F1"/>
    <w:rsid w:val="00244AD3"/>
    <w:rsid w:val="002455AF"/>
    <w:rsid w:val="00284023"/>
    <w:rsid w:val="002B0A45"/>
    <w:rsid w:val="002B50C7"/>
    <w:rsid w:val="002D0713"/>
    <w:rsid w:val="002D2E6C"/>
    <w:rsid w:val="002F1214"/>
    <w:rsid w:val="00381B97"/>
    <w:rsid w:val="003E24C7"/>
    <w:rsid w:val="00413813"/>
    <w:rsid w:val="00455F3A"/>
    <w:rsid w:val="004A7014"/>
    <w:rsid w:val="004C0DEB"/>
    <w:rsid w:val="004E6D9A"/>
    <w:rsid w:val="00501C9B"/>
    <w:rsid w:val="005726BD"/>
    <w:rsid w:val="005C0005"/>
    <w:rsid w:val="005E4DAE"/>
    <w:rsid w:val="0060276B"/>
    <w:rsid w:val="00613010"/>
    <w:rsid w:val="00622D1A"/>
    <w:rsid w:val="00685E42"/>
    <w:rsid w:val="006916EC"/>
    <w:rsid w:val="006C77A2"/>
    <w:rsid w:val="007167B0"/>
    <w:rsid w:val="00726742"/>
    <w:rsid w:val="0074464C"/>
    <w:rsid w:val="007552D0"/>
    <w:rsid w:val="007642A5"/>
    <w:rsid w:val="0076503C"/>
    <w:rsid w:val="00772FC4"/>
    <w:rsid w:val="00773395"/>
    <w:rsid w:val="007904A3"/>
    <w:rsid w:val="00796C9F"/>
    <w:rsid w:val="007D2F2B"/>
    <w:rsid w:val="007D5039"/>
    <w:rsid w:val="008330BE"/>
    <w:rsid w:val="008A007F"/>
    <w:rsid w:val="008B718E"/>
    <w:rsid w:val="008E7D27"/>
    <w:rsid w:val="009056D4"/>
    <w:rsid w:val="00917E26"/>
    <w:rsid w:val="009252DE"/>
    <w:rsid w:val="00946BF7"/>
    <w:rsid w:val="00960672"/>
    <w:rsid w:val="009618BA"/>
    <w:rsid w:val="00970AA7"/>
    <w:rsid w:val="009B4B39"/>
    <w:rsid w:val="009D1F34"/>
    <w:rsid w:val="00A65E58"/>
    <w:rsid w:val="00A75A9C"/>
    <w:rsid w:val="00AC0F8E"/>
    <w:rsid w:val="00AD306A"/>
    <w:rsid w:val="00B05A51"/>
    <w:rsid w:val="00B13CF0"/>
    <w:rsid w:val="00B579C0"/>
    <w:rsid w:val="00B722BE"/>
    <w:rsid w:val="00BC3C99"/>
    <w:rsid w:val="00BC4298"/>
    <w:rsid w:val="00C31355"/>
    <w:rsid w:val="00C46602"/>
    <w:rsid w:val="00C53FB3"/>
    <w:rsid w:val="00C60C5C"/>
    <w:rsid w:val="00C97DE4"/>
    <w:rsid w:val="00CD3782"/>
    <w:rsid w:val="00CF4D9B"/>
    <w:rsid w:val="00CF6F75"/>
    <w:rsid w:val="00D12B51"/>
    <w:rsid w:val="00D13C32"/>
    <w:rsid w:val="00D1524D"/>
    <w:rsid w:val="00D262F2"/>
    <w:rsid w:val="00D63BB8"/>
    <w:rsid w:val="00D9249F"/>
    <w:rsid w:val="00DB7F72"/>
    <w:rsid w:val="00DD16DB"/>
    <w:rsid w:val="00E36503"/>
    <w:rsid w:val="00E462A8"/>
    <w:rsid w:val="00E707CB"/>
    <w:rsid w:val="00E86FE5"/>
    <w:rsid w:val="00ED3EE8"/>
    <w:rsid w:val="00EE5598"/>
    <w:rsid w:val="00F84CF1"/>
    <w:rsid w:val="00F8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23051"/>
  <w15:chartTrackingRefBased/>
  <w15:docId w15:val="{FC8AD2ED-8037-43F3-A676-319C63BC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BB8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63BB8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D63B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63BB8"/>
    <w:pPr>
      <w:numPr>
        <w:ilvl w:val="2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link w:val="Heading4Char"/>
    <w:qFormat/>
    <w:rsid w:val="00D63BB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3B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3BB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D63BB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D63B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3B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D63BB8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D63BB8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D63BB8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D63BB8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D63BB8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D63BB8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D63BB8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D63BB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63BB8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rsid w:val="00D63BB8"/>
    <w:pPr>
      <w:numPr>
        <w:numId w:val="6"/>
      </w:numPr>
      <w:tabs>
        <w:tab w:val="num" w:pos="360"/>
      </w:tabs>
      <w:overflowPunct/>
      <w:autoSpaceDE/>
      <w:autoSpaceDN/>
      <w:adjustRightInd/>
      <w:spacing w:after="160" w:line="256" w:lineRule="auto"/>
      <w:ind w:left="720" w:firstLineChars="0" w:firstLine="0"/>
      <w:contextualSpacing/>
      <w:textAlignment w:val="auto"/>
    </w:pPr>
    <w:rPr>
      <w:rFonts w:eastAsia="Calibri"/>
      <w:lang w:eastAsia="zh-CN"/>
    </w:rPr>
  </w:style>
  <w:style w:type="character" w:customStyle="1" w:styleId="RAN4observationChar">
    <w:name w:val="RAN4 observation Char"/>
    <w:basedOn w:val="DefaultParagraphFont"/>
    <w:link w:val="RAN4observation0"/>
    <w:locked/>
    <w:rsid w:val="00D63BB8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observation0">
    <w:name w:val="RAN4 observation"/>
    <w:basedOn w:val="Normal"/>
    <w:next w:val="Normal"/>
    <w:link w:val="RAN4observationChar"/>
    <w:qFormat/>
    <w:rsid w:val="00D63BB8"/>
    <w:pPr>
      <w:numPr>
        <w:numId w:val="2"/>
      </w:numPr>
      <w:spacing w:after="160" w:line="256" w:lineRule="auto"/>
      <w:ind w:left="0" w:firstLine="0"/>
      <w:contextualSpacing/>
    </w:pPr>
    <w:rPr>
      <w:rFonts w:eastAsia="Calibri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A5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B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A5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BB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98</cp:revision>
  <dcterms:created xsi:type="dcterms:W3CDTF">2023-08-10T02:11:00Z</dcterms:created>
  <dcterms:modified xsi:type="dcterms:W3CDTF">2023-08-11T15:34:00Z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2023-08-11T15:34:00Z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309ff49d-107c-447c-ac8b-914b4006a467</vt:lpwstr>
  </property>
  <property fmtid="{D5CDD505-2E9C-101B-9397-08002B2CF9AE}" pid="8" name="MSIP_Label_73dd1fcc-24d7-4f55-9dc2-c1518f171327_ContentBits">
    <vt:lpwstr>2</vt:lpwstr>
  </property>
</Properties>
</file>